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A6" w:rsidRDefault="00A03367" w:rsidP="00A03367">
      <w:pPr>
        <w:jc w:val="center"/>
        <w:rPr>
          <w:rFonts w:ascii="Georgia" w:hAnsi="Georgia"/>
          <w:b/>
          <w:sz w:val="48"/>
          <w:szCs w:val="48"/>
        </w:rPr>
      </w:pPr>
      <w:bookmarkStart w:id="0" w:name="_GoBack"/>
      <w:bookmarkEnd w:id="0"/>
      <w:r w:rsidRPr="00A03367">
        <w:rPr>
          <w:rFonts w:ascii="Georgia" w:hAnsi="Georgia"/>
          <w:b/>
          <w:sz w:val="48"/>
          <w:szCs w:val="48"/>
        </w:rPr>
        <w:t xml:space="preserve">SAVE the situation </w:t>
      </w:r>
    </w:p>
    <w:p w:rsidR="00A03367" w:rsidRDefault="00A03367" w:rsidP="00A03367">
      <w:pPr>
        <w:rPr>
          <w:rFonts w:ascii="Georgia" w:hAnsi="Georgia"/>
          <w:sz w:val="28"/>
          <w:szCs w:val="28"/>
        </w:rPr>
      </w:pPr>
    </w:p>
    <w:p w:rsidR="00A03367" w:rsidRDefault="00A03367" w:rsidP="00A03367">
      <w:pPr>
        <w:rPr>
          <w:rFonts w:ascii="Georgia" w:hAnsi="Georgia"/>
          <w:sz w:val="28"/>
          <w:szCs w:val="28"/>
        </w:rPr>
      </w:pPr>
      <w:r>
        <w:rPr>
          <w:rFonts w:ascii="Georgia" w:hAnsi="Georgia"/>
          <w:sz w:val="28"/>
          <w:szCs w:val="28"/>
        </w:rPr>
        <w:t xml:space="preserve">The acronym </w:t>
      </w:r>
      <w:r w:rsidRPr="00A03367">
        <w:rPr>
          <w:rFonts w:ascii="Georgia" w:hAnsi="Georgia"/>
          <w:i/>
          <w:sz w:val="28"/>
          <w:szCs w:val="28"/>
        </w:rPr>
        <w:t>SAVE</w:t>
      </w:r>
      <w:r>
        <w:rPr>
          <w:rFonts w:ascii="Georgia" w:hAnsi="Georgia"/>
          <w:i/>
          <w:sz w:val="28"/>
          <w:szCs w:val="28"/>
        </w:rPr>
        <w:t xml:space="preserve"> </w:t>
      </w:r>
      <w:r>
        <w:rPr>
          <w:rFonts w:ascii="Georgia" w:hAnsi="Georgia"/>
          <w:sz w:val="28"/>
          <w:szCs w:val="28"/>
        </w:rPr>
        <w:t>is a guide for responding effectively and compassionately in a variety of emotionally charged situations</w:t>
      </w:r>
    </w:p>
    <w:p w:rsidR="00A03367" w:rsidRDefault="00A03367" w:rsidP="00A03367">
      <w:pPr>
        <w:rPr>
          <w:rFonts w:ascii="Georgia" w:hAnsi="Georgia"/>
          <w:sz w:val="28"/>
          <w:szCs w:val="28"/>
        </w:rPr>
      </w:pPr>
    </w:p>
    <w:p w:rsidR="00A03367" w:rsidRPr="00A03367" w:rsidRDefault="00A03367" w:rsidP="00A03367">
      <w:pPr>
        <w:rPr>
          <w:rFonts w:ascii="Georgia" w:hAnsi="Georgia"/>
          <w:sz w:val="28"/>
          <w:szCs w:val="28"/>
          <w:u w:val="single"/>
        </w:rPr>
      </w:pPr>
      <w:r w:rsidRPr="00A03367">
        <w:rPr>
          <w:rFonts w:ascii="Georgia" w:hAnsi="Georgia"/>
          <w:sz w:val="28"/>
          <w:szCs w:val="28"/>
          <w:u w:val="single"/>
        </w:rPr>
        <w:t>STOP</w:t>
      </w:r>
    </w:p>
    <w:p w:rsidR="00A03367" w:rsidRDefault="00A03367" w:rsidP="00A03367">
      <w:pPr>
        <w:rPr>
          <w:rFonts w:ascii="Georgia" w:hAnsi="Georgia"/>
          <w:sz w:val="28"/>
          <w:szCs w:val="28"/>
        </w:rPr>
      </w:pPr>
      <w:r>
        <w:rPr>
          <w:rFonts w:ascii="Georgia" w:hAnsi="Georgia"/>
          <w:sz w:val="28"/>
          <w:szCs w:val="28"/>
        </w:rPr>
        <w:t xml:space="preserve">Stop what you are doing and focus your attention to the present situation. </w:t>
      </w:r>
    </w:p>
    <w:p w:rsidR="00A03367" w:rsidRPr="00A03367" w:rsidRDefault="00A03367" w:rsidP="00A03367">
      <w:pPr>
        <w:rPr>
          <w:rFonts w:ascii="Georgia" w:hAnsi="Georgia"/>
          <w:sz w:val="28"/>
          <w:szCs w:val="28"/>
          <w:u w:val="single"/>
        </w:rPr>
      </w:pPr>
    </w:p>
    <w:p w:rsidR="00A03367" w:rsidRDefault="00A03367" w:rsidP="00A03367">
      <w:pPr>
        <w:rPr>
          <w:rFonts w:ascii="Georgia" w:hAnsi="Georgia"/>
          <w:sz w:val="28"/>
          <w:szCs w:val="28"/>
          <w:u w:val="single"/>
        </w:rPr>
      </w:pPr>
      <w:r w:rsidRPr="00A03367">
        <w:rPr>
          <w:rFonts w:ascii="Georgia" w:hAnsi="Georgia"/>
          <w:sz w:val="28"/>
          <w:szCs w:val="28"/>
          <w:u w:val="single"/>
        </w:rPr>
        <w:t xml:space="preserve">APPRECIATE </w:t>
      </w:r>
    </w:p>
    <w:p w:rsidR="00A03367" w:rsidRDefault="00A03367" w:rsidP="00A03367">
      <w:pPr>
        <w:rPr>
          <w:rFonts w:ascii="Georgia" w:hAnsi="Georgia"/>
          <w:sz w:val="28"/>
          <w:szCs w:val="28"/>
        </w:rPr>
      </w:pPr>
      <w:r>
        <w:rPr>
          <w:rFonts w:ascii="Georgia" w:hAnsi="Georgia"/>
          <w:sz w:val="28"/>
          <w:szCs w:val="28"/>
        </w:rPr>
        <w:t xml:space="preserve">Try to appreciate and understand the person’s situation by using the helping skills of empathy and immediacy. Empathy involves imaging the other person’s experience (thoughts, feelings, body sensations) and communicating an understanding of that experience. Immediacy is verbalizing one’s observations and responses in the moment, using present tense language. For example, “Your fists are clenched and you look angry. What is happening to you?” Or “You seem upset” or “I doubt there is anything that I can say that will make this easier. Is it ok with you if I sit here with you for a few minutes?” If the </w:t>
      </w:r>
      <w:r w:rsidR="00AE6A5A">
        <w:rPr>
          <w:rFonts w:ascii="Georgia" w:hAnsi="Georgia"/>
          <w:sz w:val="28"/>
          <w:szCs w:val="28"/>
        </w:rPr>
        <w:t>consumer</w:t>
      </w:r>
      <w:r>
        <w:rPr>
          <w:rFonts w:ascii="Georgia" w:hAnsi="Georgia"/>
          <w:sz w:val="28"/>
          <w:szCs w:val="28"/>
        </w:rPr>
        <w:t xml:space="preserve"> is unable or unwilling to answer, the </w:t>
      </w:r>
      <w:r w:rsidR="00AE6A5A">
        <w:rPr>
          <w:rFonts w:ascii="Georgia" w:hAnsi="Georgia"/>
          <w:sz w:val="28"/>
          <w:szCs w:val="28"/>
        </w:rPr>
        <w:t>staff person</w:t>
      </w:r>
      <w:r>
        <w:rPr>
          <w:rFonts w:ascii="Georgia" w:hAnsi="Georgia"/>
          <w:sz w:val="28"/>
          <w:szCs w:val="28"/>
        </w:rPr>
        <w:t xml:space="preserve"> can shift the focus to determining possible ways to be helpful (e.g., “How can I help you?”)</w:t>
      </w:r>
    </w:p>
    <w:p w:rsidR="00A03367" w:rsidRDefault="00A03367" w:rsidP="00A03367">
      <w:pPr>
        <w:rPr>
          <w:rFonts w:ascii="Georgia" w:hAnsi="Georgia"/>
          <w:sz w:val="28"/>
          <w:szCs w:val="28"/>
        </w:rPr>
      </w:pPr>
    </w:p>
    <w:p w:rsidR="00A03367" w:rsidRDefault="00A03367" w:rsidP="00A03367">
      <w:pPr>
        <w:rPr>
          <w:rFonts w:ascii="Georgia" w:hAnsi="Georgia"/>
          <w:sz w:val="28"/>
          <w:szCs w:val="28"/>
          <w:u w:val="single"/>
        </w:rPr>
      </w:pPr>
      <w:r>
        <w:rPr>
          <w:rFonts w:ascii="Georgia" w:hAnsi="Georgia"/>
          <w:sz w:val="28"/>
          <w:szCs w:val="28"/>
          <w:u w:val="single"/>
        </w:rPr>
        <w:t>VALIDATE</w:t>
      </w:r>
    </w:p>
    <w:p w:rsidR="00A03367" w:rsidRDefault="00A03367" w:rsidP="00A03367">
      <w:pPr>
        <w:rPr>
          <w:rFonts w:ascii="Georgia" w:hAnsi="Georgia"/>
          <w:sz w:val="28"/>
          <w:szCs w:val="28"/>
        </w:rPr>
      </w:pPr>
      <w:r>
        <w:rPr>
          <w:rFonts w:ascii="Georgia" w:hAnsi="Georgia"/>
          <w:sz w:val="28"/>
          <w:szCs w:val="28"/>
        </w:rPr>
        <w:t>Validate the other person’s experience. For example, “Given what you have just told me, it makes sense that you feel angry.”</w:t>
      </w:r>
    </w:p>
    <w:p w:rsidR="00A03367" w:rsidRDefault="00A03367" w:rsidP="00A03367">
      <w:pPr>
        <w:rPr>
          <w:rFonts w:ascii="Georgia" w:hAnsi="Georgia"/>
          <w:sz w:val="28"/>
          <w:szCs w:val="28"/>
        </w:rPr>
      </w:pPr>
    </w:p>
    <w:p w:rsidR="00A03367" w:rsidRDefault="00A03367" w:rsidP="00A03367">
      <w:pPr>
        <w:rPr>
          <w:rFonts w:ascii="Georgia" w:hAnsi="Georgia"/>
          <w:sz w:val="28"/>
          <w:szCs w:val="28"/>
          <w:u w:val="single"/>
        </w:rPr>
      </w:pPr>
      <w:r>
        <w:rPr>
          <w:rFonts w:ascii="Georgia" w:hAnsi="Georgia"/>
          <w:sz w:val="28"/>
          <w:szCs w:val="28"/>
          <w:u w:val="single"/>
        </w:rPr>
        <w:t>EXPLORE</w:t>
      </w:r>
    </w:p>
    <w:p w:rsidR="00A03367" w:rsidRDefault="00A03367" w:rsidP="00A03367">
      <w:pPr>
        <w:rPr>
          <w:rFonts w:ascii="Georgia" w:hAnsi="Georgia"/>
          <w:sz w:val="28"/>
          <w:szCs w:val="28"/>
        </w:rPr>
      </w:pPr>
      <w:r>
        <w:rPr>
          <w:rFonts w:ascii="Georgia" w:hAnsi="Georgia"/>
          <w:sz w:val="28"/>
          <w:szCs w:val="28"/>
        </w:rPr>
        <w:t>Explore the next step. For example, “Who can I call to come and stay with you?” or “This has been difficult for both of us. I am not sure where to go from here. Can I call you tomorrow to see how you are doing?”</w:t>
      </w:r>
    </w:p>
    <w:p w:rsidR="002F26BC" w:rsidRPr="002F26BC" w:rsidRDefault="002F26BC" w:rsidP="002F26BC">
      <w:pPr>
        <w:jc w:val="right"/>
        <w:rPr>
          <w:rFonts w:ascii="Georgia" w:hAnsi="Georgia"/>
        </w:rPr>
      </w:pPr>
    </w:p>
    <w:p w:rsidR="00A03367" w:rsidRDefault="00A03367" w:rsidP="00A03367">
      <w:pPr>
        <w:jc w:val="center"/>
        <w:rPr>
          <w:rFonts w:ascii="Georgia" w:hAnsi="Georgia"/>
          <w:b/>
          <w:sz w:val="44"/>
          <w:szCs w:val="44"/>
        </w:rPr>
      </w:pPr>
      <w:r w:rsidRPr="00A03367">
        <w:rPr>
          <w:rFonts w:ascii="Georgia" w:hAnsi="Georgia"/>
          <w:b/>
          <w:sz w:val="44"/>
          <w:szCs w:val="44"/>
        </w:rPr>
        <w:lastRenderedPageBreak/>
        <w:t>Common Triggers for Trauma Response</w:t>
      </w:r>
    </w:p>
    <w:p w:rsidR="008867B3" w:rsidRPr="002F26BC" w:rsidRDefault="00A03367" w:rsidP="008867B3">
      <w:pPr>
        <w:rPr>
          <w:rFonts w:ascii="Georgia" w:hAnsi="Georgia"/>
          <w:sz w:val="24"/>
          <w:szCs w:val="24"/>
        </w:rPr>
      </w:pPr>
      <w:r w:rsidRPr="002F26BC">
        <w:rPr>
          <w:rFonts w:ascii="Georgia" w:hAnsi="Georgia"/>
          <w:sz w:val="24"/>
          <w:szCs w:val="24"/>
        </w:rPr>
        <w:t>Sight</w:t>
      </w:r>
    </w:p>
    <w:p w:rsidR="00A03367" w:rsidRPr="002F26BC" w:rsidRDefault="00A03367" w:rsidP="008867B3">
      <w:pPr>
        <w:pStyle w:val="ListParagraph"/>
        <w:numPr>
          <w:ilvl w:val="0"/>
          <w:numId w:val="1"/>
        </w:numPr>
        <w:rPr>
          <w:rFonts w:ascii="Georgia" w:hAnsi="Georgia"/>
          <w:sz w:val="24"/>
          <w:szCs w:val="24"/>
        </w:rPr>
      </w:pPr>
      <w:r w:rsidRPr="002F26BC">
        <w:rPr>
          <w:rFonts w:ascii="Georgia" w:hAnsi="Georgia"/>
          <w:sz w:val="24"/>
          <w:szCs w:val="24"/>
        </w:rPr>
        <w:t>An individual who resembles the abuser or who has similar traits or objects (e.g., clothing, coloring, mannerisms)</w:t>
      </w:r>
    </w:p>
    <w:p w:rsidR="00A03367" w:rsidRPr="002F26BC" w:rsidRDefault="00A03367" w:rsidP="008867B3">
      <w:pPr>
        <w:pStyle w:val="ListParagraph"/>
        <w:numPr>
          <w:ilvl w:val="0"/>
          <w:numId w:val="1"/>
        </w:numPr>
        <w:rPr>
          <w:rFonts w:ascii="Georgia" w:hAnsi="Georgia"/>
          <w:sz w:val="24"/>
          <w:szCs w:val="24"/>
        </w:rPr>
      </w:pPr>
      <w:r w:rsidRPr="002F26BC">
        <w:rPr>
          <w:rFonts w:ascii="Georgia" w:hAnsi="Georgia"/>
          <w:sz w:val="24"/>
          <w:szCs w:val="24"/>
        </w:rPr>
        <w:t>A situation where someone else is being threatened or abused (e.g., scowl, raised hand, actual physical abuse)</w:t>
      </w:r>
    </w:p>
    <w:p w:rsidR="00A03367" w:rsidRPr="002F26BC" w:rsidRDefault="00A03367" w:rsidP="008867B3">
      <w:pPr>
        <w:pStyle w:val="ListParagraph"/>
        <w:numPr>
          <w:ilvl w:val="0"/>
          <w:numId w:val="1"/>
        </w:numPr>
        <w:rPr>
          <w:rFonts w:ascii="Georgia" w:hAnsi="Georgia"/>
          <w:sz w:val="24"/>
          <w:szCs w:val="24"/>
        </w:rPr>
      </w:pPr>
      <w:r w:rsidRPr="002F26BC">
        <w:rPr>
          <w:rFonts w:ascii="Georgia" w:hAnsi="Georgia"/>
          <w:sz w:val="24"/>
          <w:szCs w:val="24"/>
        </w:rPr>
        <w:t>The sight of an object that was part of the abuse or similar to such an object (e.g., a belt, rope, sex toys) or that is associated with the site where the abuse took place (e.g., dark room, a locked door)</w:t>
      </w:r>
    </w:p>
    <w:p w:rsidR="008867B3" w:rsidRPr="002F26BC" w:rsidRDefault="008867B3" w:rsidP="008867B3">
      <w:pPr>
        <w:rPr>
          <w:rFonts w:ascii="Georgia" w:hAnsi="Georgia"/>
          <w:sz w:val="24"/>
          <w:szCs w:val="24"/>
        </w:rPr>
      </w:pPr>
      <w:r w:rsidRPr="002F26BC">
        <w:rPr>
          <w:rFonts w:ascii="Georgia" w:hAnsi="Georgia"/>
          <w:sz w:val="24"/>
          <w:szCs w:val="24"/>
        </w:rPr>
        <w:t>Sound</w:t>
      </w:r>
    </w:p>
    <w:p w:rsidR="008867B3" w:rsidRPr="002F26BC" w:rsidRDefault="008867B3" w:rsidP="008867B3">
      <w:pPr>
        <w:pStyle w:val="ListParagraph"/>
        <w:numPr>
          <w:ilvl w:val="0"/>
          <w:numId w:val="3"/>
        </w:numPr>
        <w:rPr>
          <w:rFonts w:ascii="Georgia" w:hAnsi="Georgia"/>
          <w:sz w:val="24"/>
          <w:szCs w:val="24"/>
        </w:rPr>
      </w:pPr>
      <w:r w:rsidRPr="002F26BC">
        <w:rPr>
          <w:rFonts w:ascii="Georgia" w:hAnsi="Georgia"/>
          <w:sz w:val="24"/>
          <w:szCs w:val="24"/>
        </w:rPr>
        <w:t>Sounds associated with anger (e.g., raised voices, arguments, loud noises, objects breaking)</w:t>
      </w:r>
    </w:p>
    <w:p w:rsidR="008867B3" w:rsidRPr="002F26BC" w:rsidRDefault="008867B3" w:rsidP="008867B3">
      <w:pPr>
        <w:pStyle w:val="ListParagraph"/>
        <w:numPr>
          <w:ilvl w:val="0"/>
          <w:numId w:val="3"/>
        </w:numPr>
        <w:rPr>
          <w:rFonts w:ascii="Georgia" w:hAnsi="Georgia"/>
          <w:sz w:val="24"/>
          <w:szCs w:val="24"/>
        </w:rPr>
      </w:pPr>
      <w:r w:rsidRPr="002F26BC">
        <w:rPr>
          <w:rFonts w:ascii="Georgia" w:hAnsi="Georgia"/>
          <w:sz w:val="24"/>
          <w:szCs w:val="24"/>
        </w:rPr>
        <w:t>Sounds associated with pain or fear (e.g., sobbing, whimpering, screaming)</w:t>
      </w:r>
    </w:p>
    <w:p w:rsidR="008867B3" w:rsidRPr="002F26BC" w:rsidRDefault="008867B3" w:rsidP="008867B3">
      <w:pPr>
        <w:pStyle w:val="ListParagraph"/>
        <w:numPr>
          <w:ilvl w:val="0"/>
          <w:numId w:val="3"/>
        </w:numPr>
        <w:rPr>
          <w:rFonts w:ascii="Georgia" w:hAnsi="Georgia"/>
          <w:sz w:val="24"/>
          <w:szCs w:val="24"/>
        </w:rPr>
      </w:pPr>
      <w:r w:rsidRPr="002F26BC">
        <w:rPr>
          <w:rFonts w:ascii="Georgia" w:hAnsi="Georgia"/>
          <w:sz w:val="24"/>
          <w:szCs w:val="24"/>
        </w:rPr>
        <w:t xml:space="preserve">A situation in which the survivor is being reprimanded </w:t>
      </w:r>
    </w:p>
    <w:p w:rsidR="008867B3" w:rsidRPr="002F26BC" w:rsidRDefault="008867B3" w:rsidP="008867B3">
      <w:pPr>
        <w:pStyle w:val="ListParagraph"/>
        <w:numPr>
          <w:ilvl w:val="0"/>
          <w:numId w:val="3"/>
        </w:numPr>
        <w:rPr>
          <w:rFonts w:ascii="Georgia" w:hAnsi="Georgia"/>
          <w:sz w:val="24"/>
          <w:szCs w:val="24"/>
        </w:rPr>
      </w:pPr>
      <w:r w:rsidRPr="002F26BC">
        <w:rPr>
          <w:rFonts w:ascii="Georgia" w:hAnsi="Georgia"/>
          <w:sz w:val="24"/>
          <w:szCs w:val="24"/>
        </w:rPr>
        <w:t>Sounds associated with the place or situation before, during, or after the abuse occurred (e.g., footsteps, a door being locked, a certain piece of music, sirens, birds chirping, a car door closing)</w:t>
      </w:r>
    </w:p>
    <w:p w:rsidR="008867B3" w:rsidRPr="002F26BC" w:rsidRDefault="008867B3" w:rsidP="008867B3">
      <w:pPr>
        <w:pStyle w:val="ListParagraph"/>
        <w:numPr>
          <w:ilvl w:val="0"/>
          <w:numId w:val="3"/>
        </w:numPr>
        <w:rPr>
          <w:rFonts w:ascii="Georgia" w:hAnsi="Georgia"/>
          <w:sz w:val="24"/>
          <w:szCs w:val="24"/>
        </w:rPr>
      </w:pPr>
      <w:r w:rsidRPr="002F26BC">
        <w:rPr>
          <w:rFonts w:ascii="Georgia" w:hAnsi="Georgia"/>
          <w:sz w:val="24"/>
          <w:szCs w:val="24"/>
        </w:rPr>
        <w:t>Anything that resembles sounds that the abuser made (e.g., particular words, phrases or tone of voice, whistling, cursing, groaning)</w:t>
      </w:r>
    </w:p>
    <w:p w:rsidR="008867B3" w:rsidRPr="002F26BC" w:rsidRDefault="008867B3" w:rsidP="008867B3">
      <w:pPr>
        <w:rPr>
          <w:rFonts w:ascii="Georgia" w:hAnsi="Georgia"/>
          <w:sz w:val="24"/>
          <w:szCs w:val="24"/>
        </w:rPr>
      </w:pPr>
      <w:r w:rsidRPr="002F26BC">
        <w:rPr>
          <w:rFonts w:ascii="Georgia" w:hAnsi="Georgia"/>
          <w:sz w:val="24"/>
          <w:szCs w:val="24"/>
        </w:rPr>
        <w:t xml:space="preserve">Smell </w:t>
      </w:r>
    </w:p>
    <w:p w:rsidR="008867B3" w:rsidRPr="002F26BC" w:rsidRDefault="008867B3" w:rsidP="008867B3">
      <w:pPr>
        <w:pStyle w:val="ListParagraph"/>
        <w:numPr>
          <w:ilvl w:val="0"/>
          <w:numId w:val="4"/>
        </w:numPr>
        <w:rPr>
          <w:rFonts w:ascii="Georgia" w:hAnsi="Georgia"/>
          <w:sz w:val="24"/>
          <w:szCs w:val="24"/>
        </w:rPr>
      </w:pPr>
      <w:r w:rsidRPr="002F26BC">
        <w:rPr>
          <w:rFonts w:ascii="Georgia" w:hAnsi="Georgia"/>
          <w:sz w:val="24"/>
          <w:szCs w:val="24"/>
        </w:rPr>
        <w:t>Odors associated with the abuser(s) (e.g., cologne or aftershave, tobacco, alcohol, drugs)</w:t>
      </w:r>
    </w:p>
    <w:p w:rsidR="008867B3" w:rsidRPr="002F26BC" w:rsidRDefault="008867B3" w:rsidP="008867B3">
      <w:pPr>
        <w:pStyle w:val="ListParagraph"/>
        <w:numPr>
          <w:ilvl w:val="0"/>
          <w:numId w:val="4"/>
        </w:numPr>
        <w:rPr>
          <w:rFonts w:ascii="Georgia" w:hAnsi="Georgia"/>
          <w:sz w:val="24"/>
          <w:szCs w:val="24"/>
        </w:rPr>
      </w:pPr>
      <w:r w:rsidRPr="002F26BC">
        <w:rPr>
          <w:rFonts w:ascii="Georgia" w:hAnsi="Georgia"/>
          <w:sz w:val="24"/>
          <w:szCs w:val="24"/>
        </w:rPr>
        <w:t>Odors associated with the place or situation where the abuse occurred (e.g., latex, mildew, petroleum products, food odors, outdoor smells)</w:t>
      </w:r>
    </w:p>
    <w:p w:rsidR="008867B3" w:rsidRPr="002F26BC" w:rsidRDefault="008867B3" w:rsidP="008867B3">
      <w:pPr>
        <w:rPr>
          <w:rFonts w:ascii="Georgia" w:hAnsi="Georgia"/>
          <w:sz w:val="24"/>
          <w:szCs w:val="24"/>
        </w:rPr>
      </w:pPr>
      <w:r w:rsidRPr="002F26BC">
        <w:rPr>
          <w:rFonts w:ascii="Georgia" w:hAnsi="Georgia"/>
          <w:sz w:val="24"/>
          <w:szCs w:val="24"/>
        </w:rPr>
        <w:t>Touch</w:t>
      </w:r>
    </w:p>
    <w:p w:rsidR="008867B3" w:rsidRPr="002F26BC" w:rsidRDefault="008867B3" w:rsidP="008867B3">
      <w:pPr>
        <w:pStyle w:val="ListParagraph"/>
        <w:numPr>
          <w:ilvl w:val="0"/>
          <w:numId w:val="5"/>
        </w:numPr>
        <w:rPr>
          <w:rFonts w:ascii="Georgia" w:hAnsi="Georgia"/>
          <w:sz w:val="24"/>
          <w:szCs w:val="24"/>
        </w:rPr>
      </w:pPr>
      <w:r w:rsidRPr="002F26BC">
        <w:rPr>
          <w:rFonts w:ascii="Georgia" w:hAnsi="Georgia"/>
          <w:sz w:val="24"/>
          <w:szCs w:val="24"/>
        </w:rPr>
        <w:t>Any type of physical contact or proximity that resembles the abuse (e.g., touch on certain parts of the body, touch that comes without warning</w:t>
      </w:r>
      <w:r w:rsidR="002F26BC" w:rsidRPr="002F26BC">
        <w:rPr>
          <w:rFonts w:ascii="Georgia" w:hAnsi="Georgia"/>
          <w:sz w:val="24"/>
          <w:szCs w:val="24"/>
        </w:rPr>
        <w:t>, standing too close, the sensation of breath on the skin, the manner in which someone approaches)</w:t>
      </w:r>
    </w:p>
    <w:p w:rsidR="002F26BC" w:rsidRPr="002F26BC" w:rsidRDefault="002F26BC" w:rsidP="008867B3">
      <w:pPr>
        <w:pStyle w:val="ListParagraph"/>
        <w:numPr>
          <w:ilvl w:val="0"/>
          <w:numId w:val="5"/>
        </w:numPr>
        <w:rPr>
          <w:rFonts w:ascii="Georgia" w:hAnsi="Georgia"/>
          <w:sz w:val="24"/>
          <w:szCs w:val="24"/>
        </w:rPr>
      </w:pPr>
      <w:r w:rsidRPr="002F26BC">
        <w:rPr>
          <w:rFonts w:ascii="Georgia" w:hAnsi="Georgia"/>
          <w:sz w:val="24"/>
          <w:szCs w:val="24"/>
        </w:rPr>
        <w:t>The sensation of any type of object that was used during the abuse (e.g., ice, gel similar to lubricant or semen, the sensation of equipment that is reminiscent used during abuse)</w:t>
      </w:r>
    </w:p>
    <w:p w:rsidR="002F26BC" w:rsidRPr="002F26BC" w:rsidRDefault="002F26BC" w:rsidP="002F26BC">
      <w:pPr>
        <w:rPr>
          <w:rFonts w:ascii="Georgia" w:hAnsi="Georgia"/>
          <w:sz w:val="24"/>
          <w:szCs w:val="24"/>
        </w:rPr>
      </w:pPr>
      <w:r w:rsidRPr="002F26BC">
        <w:rPr>
          <w:rFonts w:ascii="Georgia" w:hAnsi="Georgia"/>
          <w:sz w:val="24"/>
          <w:szCs w:val="24"/>
        </w:rPr>
        <w:t>Taste</w:t>
      </w:r>
    </w:p>
    <w:p w:rsidR="00A03367" w:rsidRPr="002F26BC" w:rsidRDefault="002F26BC" w:rsidP="00A03367">
      <w:pPr>
        <w:pStyle w:val="ListParagraph"/>
        <w:numPr>
          <w:ilvl w:val="0"/>
          <w:numId w:val="6"/>
        </w:numPr>
        <w:rPr>
          <w:rFonts w:ascii="Georgia" w:hAnsi="Georgia"/>
          <w:sz w:val="24"/>
          <w:szCs w:val="24"/>
        </w:rPr>
      </w:pPr>
      <w:r w:rsidRPr="002F26BC">
        <w:rPr>
          <w:rFonts w:ascii="Georgia" w:hAnsi="Georgia"/>
          <w:sz w:val="24"/>
          <w:szCs w:val="24"/>
        </w:rPr>
        <w:t xml:space="preserve">And taste related to the abuse (e.g., certain foods, alcohol, semen, tobacco) </w:t>
      </w:r>
    </w:p>
    <w:sectPr w:rsidR="00A03367" w:rsidRPr="002F26BC" w:rsidSect="00A03367">
      <w:footerReference w:type="default" r:id="rId7"/>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BC" w:rsidRDefault="002F26BC" w:rsidP="002F26BC">
      <w:pPr>
        <w:spacing w:after="0" w:line="240" w:lineRule="auto"/>
      </w:pPr>
      <w:r>
        <w:separator/>
      </w:r>
    </w:p>
  </w:endnote>
  <w:endnote w:type="continuationSeparator" w:id="0">
    <w:p w:rsidR="002F26BC" w:rsidRDefault="002F26BC" w:rsidP="002F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BC" w:rsidRPr="002F26BC" w:rsidRDefault="00AE6A5A">
    <w:pPr>
      <w:pStyle w:val="Footer"/>
      <w:jc w:val="right"/>
      <w:rPr>
        <w:rFonts w:ascii="Georgia" w:hAnsi="Georgia"/>
      </w:rPr>
    </w:pPr>
    <w:r>
      <w:rPr>
        <w:rFonts w:ascii="Georgia" w:hAnsi="Georgia"/>
        <w:sz w:val="20"/>
        <w:szCs w:val="20"/>
      </w:rPr>
      <w:t xml:space="preserve">Adopted from </w:t>
    </w:r>
    <w:r w:rsidR="002F26BC" w:rsidRPr="002F26BC">
      <w:rPr>
        <w:rFonts w:ascii="Georgia" w:hAnsi="Georgia"/>
        <w:sz w:val="20"/>
        <w:szCs w:val="20"/>
      </w:rPr>
      <w:t>Truman Medical Center, Kansas City, MO</w:t>
    </w:r>
  </w:p>
  <w:p w:rsidR="002F26BC" w:rsidRDefault="002F2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BC" w:rsidRDefault="002F26BC" w:rsidP="002F26BC">
      <w:pPr>
        <w:spacing w:after="0" w:line="240" w:lineRule="auto"/>
      </w:pPr>
      <w:r>
        <w:separator/>
      </w:r>
    </w:p>
  </w:footnote>
  <w:footnote w:type="continuationSeparator" w:id="0">
    <w:p w:rsidR="002F26BC" w:rsidRDefault="002F26BC" w:rsidP="002F2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7A2"/>
    <w:multiLevelType w:val="hybridMultilevel"/>
    <w:tmpl w:val="8786B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CE7469"/>
    <w:multiLevelType w:val="hybridMultilevel"/>
    <w:tmpl w:val="81DEBA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C551C91"/>
    <w:multiLevelType w:val="hybridMultilevel"/>
    <w:tmpl w:val="53788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894832"/>
    <w:multiLevelType w:val="hybridMultilevel"/>
    <w:tmpl w:val="EBE8D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E7048F1"/>
    <w:multiLevelType w:val="hybridMultilevel"/>
    <w:tmpl w:val="A3AA3B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CB90F8A"/>
    <w:multiLevelType w:val="hybridMultilevel"/>
    <w:tmpl w:val="8D22D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67"/>
    <w:rsid w:val="000B23C1"/>
    <w:rsid w:val="00111CE6"/>
    <w:rsid w:val="001C3385"/>
    <w:rsid w:val="001E1C31"/>
    <w:rsid w:val="00237CC8"/>
    <w:rsid w:val="002A678B"/>
    <w:rsid w:val="002B777E"/>
    <w:rsid w:val="002F26BC"/>
    <w:rsid w:val="0034398C"/>
    <w:rsid w:val="0034450A"/>
    <w:rsid w:val="00351FF3"/>
    <w:rsid w:val="00361411"/>
    <w:rsid w:val="00385AA6"/>
    <w:rsid w:val="003C7E42"/>
    <w:rsid w:val="00402464"/>
    <w:rsid w:val="0045016C"/>
    <w:rsid w:val="004734B3"/>
    <w:rsid w:val="004D74F6"/>
    <w:rsid w:val="005B5705"/>
    <w:rsid w:val="006015EC"/>
    <w:rsid w:val="00647208"/>
    <w:rsid w:val="00655175"/>
    <w:rsid w:val="006C38EA"/>
    <w:rsid w:val="00710F7C"/>
    <w:rsid w:val="0072181A"/>
    <w:rsid w:val="00775622"/>
    <w:rsid w:val="007C3B38"/>
    <w:rsid w:val="00812AF8"/>
    <w:rsid w:val="008543DF"/>
    <w:rsid w:val="008867B3"/>
    <w:rsid w:val="008F4643"/>
    <w:rsid w:val="009954A9"/>
    <w:rsid w:val="009D1853"/>
    <w:rsid w:val="009D7A1A"/>
    <w:rsid w:val="009E0298"/>
    <w:rsid w:val="009F2872"/>
    <w:rsid w:val="009F74D7"/>
    <w:rsid w:val="00A03367"/>
    <w:rsid w:val="00A452FB"/>
    <w:rsid w:val="00A762A1"/>
    <w:rsid w:val="00AC5880"/>
    <w:rsid w:val="00AE6A5A"/>
    <w:rsid w:val="00B328CD"/>
    <w:rsid w:val="00C15B2E"/>
    <w:rsid w:val="00C246F5"/>
    <w:rsid w:val="00C731F3"/>
    <w:rsid w:val="00C96916"/>
    <w:rsid w:val="00CA63AA"/>
    <w:rsid w:val="00CB3F3F"/>
    <w:rsid w:val="00CD7608"/>
    <w:rsid w:val="00CE42C2"/>
    <w:rsid w:val="00D45CE9"/>
    <w:rsid w:val="00D61C2D"/>
    <w:rsid w:val="00D61D9F"/>
    <w:rsid w:val="00D81DFF"/>
    <w:rsid w:val="00DF6DC4"/>
    <w:rsid w:val="00E058A6"/>
    <w:rsid w:val="00E25C44"/>
    <w:rsid w:val="00E75230"/>
    <w:rsid w:val="00EC4063"/>
    <w:rsid w:val="00EE0561"/>
    <w:rsid w:val="00F02EA1"/>
    <w:rsid w:val="00F10EF7"/>
    <w:rsid w:val="00F521B0"/>
    <w:rsid w:val="00F826BC"/>
    <w:rsid w:val="00FF3275"/>
    <w:rsid w:val="00FF3C05"/>
    <w:rsid w:val="00FF4781"/>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6438A-84F2-420B-B112-F38037A9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367"/>
    <w:pPr>
      <w:ind w:left="720"/>
      <w:contextualSpacing/>
    </w:pPr>
  </w:style>
  <w:style w:type="paragraph" w:styleId="Header">
    <w:name w:val="header"/>
    <w:basedOn w:val="Normal"/>
    <w:link w:val="HeaderChar"/>
    <w:uiPriority w:val="99"/>
    <w:unhideWhenUsed/>
    <w:rsid w:val="002F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BC"/>
  </w:style>
  <w:style w:type="paragraph" w:styleId="Footer">
    <w:name w:val="footer"/>
    <w:basedOn w:val="Normal"/>
    <w:link w:val="FooterChar"/>
    <w:uiPriority w:val="99"/>
    <w:unhideWhenUsed/>
    <w:rsid w:val="002F2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Kay Glidden</cp:lastModifiedBy>
  <cp:revision>2</cp:revision>
  <dcterms:created xsi:type="dcterms:W3CDTF">2014-09-23T18:39:00Z</dcterms:created>
  <dcterms:modified xsi:type="dcterms:W3CDTF">2014-09-23T18:39:00Z</dcterms:modified>
</cp:coreProperties>
</file>